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81"/>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8"/>
        <w:gridCol w:w="7341"/>
      </w:tblGrid>
      <w:tr w:rsidR="00B052A7" w:rsidRPr="00B052A7" w:rsidTr="009064F3">
        <w:trPr>
          <w:cantSplit/>
          <w:trHeight w:val="435"/>
        </w:trPr>
        <w:tc>
          <w:tcPr>
            <w:tcW w:w="10359" w:type="dxa"/>
            <w:gridSpan w:val="2"/>
            <w:tcBorders>
              <w:bottom w:val="single" w:sz="4" w:space="0" w:color="auto"/>
            </w:tcBorders>
            <w:vAlign w:val="center"/>
          </w:tcPr>
          <w:p w:rsidR="00B052A7" w:rsidRPr="00B052A7" w:rsidRDefault="00B052A7" w:rsidP="00B052A7">
            <w:pPr>
              <w:rPr>
                <w:rFonts w:ascii="ＭＳ ゴシック" w:eastAsia="ＭＳ ゴシック" w:hAnsi="ＭＳ ゴシック" w:cs="Times New Roman"/>
                <w:sz w:val="22"/>
                <w:szCs w:val="24"/>
              </w:rPr>
            </w:pPr>
            <w:bookmarkStart w:id="0" w:name="_GoBack"/>
            <w:bookmarkEnd w:id="0"/>
            <w:r w:rsidRPr="00B052A7">
              <w:rPr>
                <w:rFonts w:ascii="ＭＳ ゴシック" w:eastAsia="ＭＳ ゴシック" w:hAnsi="ＭＳ ゴシック" w:cs="Times New Roman" w:hint="eastAsia"/>
                <w:sz w:val="24"/>
                <w:szCs w:val="24"/>
              </w:rPr>
              <w:t>産婦人科ＤＣ療法、外来、以下を３～４週毎に３～６回繰り返す</w:t>
            </w:r>
          </w:p>
        </w:tc>
      </w:tr>
      <w:tr w:rsidR="00B052A7" w:rsidRPr="00B052A7" w:rsidTr="009064F3">
        <w:trPr>
          <w:cantSplit/>
          <w:trHeight w:val="679"/>
        </w:trPr>
        <w:tc>
          <w:tcPr>
            <w:tcW w:w="3018" w:type="dxa"/>
            <w:tcBorders>
              <w:bottom w:val="nil"/>
            </w:tcBorders>
            <w:vAlign w:val="center"/>
          </w:tcPr>
          <w:p w:rsidR="00B052A7" w:rsidRPr="00B052A7" w:rsidRDefault="00B052A7" w:rsidP="00B052A7">
            <w:pPr>
              <w:spacing w:line="600" w:lineRule="exact"/>
              <w:rPr>
                <w:rFonts w:ascii="Times New Roman" w:eastAsia="ＭＳ 明朝" w:hAnsi="Times New Roman" w:cs="Times New Roman"/>
                <w:sz w:val="22"/>
                <w:szCs w:val="24"/>
              </w:rPr>
            </w:pPr>
          </w:p>
        </w:tc>
        <w:tc>
          <w:tcPr>
            <w:tcW w:w="7341" w:type="dxa"/>
            <w:tcBorders>
              <w:bottom w:val="nil"/>
            </w:tcBorders>
            <w:vAlign w:val="center"/>
          </w:tcPr>
          <w:p w:rsidR="00B052A7" w:rsidRPr="00B052A7" w:rsidRDefault="00B052A7" w:rsidP="00B052A7">
            <w:pPr>
              <w:spacing w:line="600" w:lineRule="exact"/>
              <w:rPr>
                <w:rFonts w:ascii="Times New Roman" w:eastAsia="ＭＳ 明朝" w:hAnsi="Times New Roman" w:cs="Times New Roman"/>
                <w:sz w:val="22"/>
                <w:szCs w:val="24"/>
              </w:rPr>
            </w:pPr>
            <w:r w:rsidRPr="00B052A7">
              <w:rPr>
                <w:rFonts w:ascii="Century" w:eastAsia="ＭＳ 明朝" w:hAnsi="Century" w:cs="Times New Roman"/>
                <w:szCs w:val="24"/>
              </w:rPr>
              <w:object w:dxaOrig="10964"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05pt;height:23.65pt" o:ole="">
                  <v:imagedata r:id="rId8" o:title=""/>
                </v:shape>
                <o:OLEObject Type="Embed" ProgID="PBrush" ShapeID="_x0000_i1025" DrawAspect="Content" ObjectID="_1661069923" r:id="rId9"/>
              </w:object>
            </w:r>
          </w:p>
        </w:tc>
      </w:tr>
      <w:tr w:rsidR="00B052A7" w:rsidRPr="00B052A7" w:rsidTr="009064F3">
        <w:trPr>
          <w:cantSplit/>
          <w:trHeight w:val="1212"/>
        </w:trPr>
        <w:tc>
          <w:tcPr>
            <w:tcW w:w="3018" w:type="dxa"/>
            <w:tcBorders>
              <w:top w:val="nil"/>
              <w:bottom w:val="single" w:sz="4" w:space="0" w:color="auto"/>
            </w:tcBorders>
            <w:vAlign w:val="center"/>
          </w:tcPr>
          <w:p w:rsidR="00B052A7" w:rsidRPr="00B052A7" w:rsidRDefault="00B052A7" w:rsidP="00B052A7">
            <w:pPr>
              <w:spacing w:line="340" w:lineRule="exact"/>
              <w:rPr>
                <w:rFonts w:ascii="ＭＳ ゴシック" w:eastAsia="ＭＳ ゴシック" w:hAnsi="ＭＳ 明朝" w:cs="Times New Roman"/>
                <w:sz w:val="22"/>
                <w:szCs w:val="24"/>
              </w:rPr>
            </w:pPr>
            <w:r w:rsidRPr="00B052A7">
              <w:rPr>
                <w:rFonts w:ascii="ＭＳ ゴシック" w:eastAsia="ＭＳ ゴシック" w:hAnsi="ＭＳ 明朝" w:cs="Times New Roman" w:hint="eastAsia"/>
                <w:sz w:val="22"/>
                <w:szCs w:val="24"/>
              </w:rPr>
              <w:t>ドセタキセル　：70mg/m2</w:t>
            </w:r>
          </w:p>
          <w:p w:rsidR="00B052A7" w:rsidRPr="00B052A7" w:rsidRDefault="00B052A7" w:rsidP="00B052A7">
            <w:pPr>
              <w:spacing w:line="340" w:lineRule="exact"/>
              <w:rPr>
                <w:rFonts w:ascii="ＭＳ ゴシック" w:eastAsia="ＭＳ ゴシック" w:hAnsi="ＭＳ 明朝" w:cs="Times New Roman"/>
                <w:sz w:val="22"/>
                <w:szCs w:val="24"/>
              </w:rPr>
            </w:pPr>
            <w:r w:rsidRPr="00B052A7">
              <w:rPr>
                <w:rFonts w:ascii="ＭＳ ゴシック" w:eastAsia="ＭＳ ゴシック" w:hAnsi="ＭＳ 明朝" w:cs="Times New Roman" w:hint="eastAsia"/>
                <w:sz w:val="22"/>
                <w:szCs w:val="24"/>
              </w:rPr>
              <w:t>カルボプラチン：AUC＝５</w:t>
            </w:r>
          </w:p>
          <w:p w:rsidR="00B052A7" w:rsidRPr="00B052A7" w:rsidRDefault="00B052A7" w:rsidP="00B052A7">
            <w:pPr>
              <w:spacing w:line="340" w:lineRule="exact"/>
              <w:rPr>
                <w:rFonts w:ascii="ＭＳ ゴシック" w:eastAsia="ＭＳ ゴシック" w:hAnsi="ＭＳ 明朝" w:cs="Times New Roman"/>
                <w:sz w:val="22"/>
                <w:szCs w:val="24"/>
              </w:rPr>
            </w:pPr>
            <w:r w:rsidRPr="00B052A7">
              <w:rPr>
                <w:rFonts w:ascii="ＭＳ ゴシック" w:eastAsia="ＭＳ ゴシック" w:hAnsi="ＭＳ 明朝" w:cs="Times New Roman" w:hint="eastAsia"/>
                <w:sz w:val="22"/>
                <w:szCs w:val="24"/>
              </w:rPr>
              <w:t>アバスチン　　：15mg/kg</w:t>
            </w:r>
          </w:p>
          <w:p w:rsidR="00B052A7" w:rsidRPr="00B052A7" w:rsidRDefault="00B052A7" w:rsidP="00B052A7">
            <w:pPr>
              <w:spacing w:line="340" w:lineRule="exact"/>
              <w:rPr>
                <w:rFonts w:ascii="ＭＳ ゴシック" w:eastAsia="ＭＳ ゴシック" w:hAnsi="ＭＳ 明朝" w:cs="Times New Roman"/>
                <w:sz w:val="22"/>
                <w:szCs w:val="24"/>
              </w:rPr>
            </w:pPr>
            <w:r w:rsidRPr="00B052A7">
              <w:rPr>
                <w:rFonts w:ascii="ＭＳ ゴシック" w:eastAsia="ＭＳ ゴシック" w:hAnsi="ＭＳ 明朝" w:cs="Times New Roman" w:hint="eastAsia"/>
                <w:sz w:val="22"/>
                <w:szCs w:val="24"/>
              </w:rPr>
              <w:t>（day１）</w:t>
            </w:r>
          </w:p>
        </w:tc>
        <w:tc>
          <w:tcPr>
            <w:tcW w:w="7341" w:type="dxa"/>
            <w:tcBorders>
              <w:top w:val="nil"/>
              <w:bottom w:val="single" w:sz="4" w:space="0" w:color="auto"/>
            </w:tcBorders>
            <w:vAlign w:val="center"/>
          </w:tcPr>
          <w:p w:rsidR="00B052A7" w:rsidRPr="00B052A7" w:rsidRDefault="00B052A7" w:rsidP="00B052A7">
            <w:pPr>
              <w:spacing w:line="340" w:lineRule="exact"/>
              <w:rPr>
                <w:rFonts w:ascii="ＭＳ ゴシック" w:eastAsia="ＭＳ ゴシック" w:hAnsi="ＭＳ ゴシック" w:cs="Times New Roman"/>
                <w:b/>
                <w:bCs/>
                <w:sz w:val="20"/>
                <w:szCs w:val="24"/>
              </w:rPr>
            </w:pPr>
            <w:r w:rsidRPr="00B052A7">
              <w:rPr>
                <w:rFonts w:ascii="ＭＳ ゴシック" w:eastAsia="ＭＳ ゴシック" w:hAnsi="ＭＳ ゴシック" w:cs="Times New Roman" w:hint="eastAsia"/>
                <w:b/>
                <w:bCs/>
                <w:sz w:val="20"/>
                <w:szCs w:val="24"/>
              </w:rPr>
              <w:t xml:space="preserve">↑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 xml:space="preserve">休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休                ↑</w:t>
            </w:r>
          </w:p>
          <w:p w:rsidR="00B052A7" w:rsidRPr="00B052A7" w:rsidRDefault="00B052A7" w:rsidP="00B052A7">
            <w:pPr>
              <w:spacing w:line="340" w:lineRule="exact"/>
              <w:rPr>
                <w:rFonts w:ascii="ＭＳ ゴシック" w:eastAsia="ＭＳ ゴシック" w:hAnsi="ＭＳ ゴシック" w:cs="Times New Roman"/>
                <w:b/>
                <w:bCs/>
                <w:sz w:val="20"/>
                <w:szCs w:val="24"/>
              </w:rPr>
            </w:pPr>
            <w:r w:rsidRPr="00B052A7">
              <w:rPr>
                <w:rFonts w:ascii="ＭＳ ゴシック" w:eastAsia="ＭＳ ゴシック" w:hAnsi="ＭＳ ゴシック" w:cs="Times New Roman" w:hint="eastAsia"/>
                <w:b/>
                <w:bCs/>
                <w:sz w:val="20"/>
                <w:szCs w:val="24"/>
              </w:rPr>
              <w:t xml:space="preserve">↑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 xml:space="preserve">休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休                ↑</w:t>
            </w:r>
          </w:p>
          <w:p w:rsidR="00B052A7" w:rsidRPr="00B052A7" w:rsidRDefault="00B052A7" w:rsidP="00B052A7">
            <w:pPr>
              <w:spacing w:line="340" w:lineRule="exact"/>
              <w:rPr>
                <w:rFonts w:ascii="ＭＳ ゴシック" w:eastAsia="ＭＳ ゴシック" w:hAnsi="ＭＳ ゴシック" w:cs="Times New Roman"/>
                <w:b/>
                <w:bCs/>
                <w:sz w:val="20"/>
                <w:szCs w:val="24"/>
              </w:rPr>
            </w:pPr>
            <w:r w:rsidRPr="00B052A7">
              <w:rPr>
                <w:rFonts w:ascii="ＭＳ ゴシック" w:eastAsia="ＭＳ ゴシック" w:hAnsi="ＭＳ ゴシック" w:cs="Times New Roman" w:hint="eastAsia"/>
                <w:b/>
                <w:bCs/>
                <w:sz w:val="20"/>
                <w:szCs w:val="24"/>
              </w:rPr>
              <w:t xml:space="preserve">↑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 xml:space="preserve">休               </w:t>
            </w:r>
            <w:r w:rsidRPr="00B052A7">
              <w:rPr>
                <w:rFonts w:ascii="ＭＳ ゴシック" w:eastAsia="ＭＳ ゴシック" w:hAnsi="ＭＳ ゴシック" w:cs="Times New Roman" w:hint="eastAsia"/>
                <w:b/>
                <w:bCs/>
                <w:sz w:val="14"/>
                <w:szCs w:val="24"/>
              </w:rPr>
              <w:t xml:space="preserve"> </w:t>
            </w:r>
            <w:r w:rsidRPr="00B052A7">
              <w:rPr>
                <w:rFonts w:ascii="ＭＳ ゴシック" w:eastAsia="ＭＳ ゴシック" w:hAnsi="ＭＳ ゴシック" w:cs="Times New Roman" w:hint="eastAsia"/>
                <w:b/>
                <w:bCs/>
                <w:sz w:val="20"/>
                <w:szCs w:val="24"/>
              </w:rPr>
              <w:t>休                ↑</w:t>
            </w:r>
          </w:p>
          <w:p w:rsidR="00B052A7" w:rsidRPr="00B052A7" w:rsidRDefault="00B052A7" w:rsidP="00B052A7">
            <w:pPr>
              <w:spacing w:line="340" w:lineRule="exact"/>
              <w:rPr>
                <w:rFonts w:ascii="ＭＳ ゴシック" w:eastAsia="ＭＳ ゴシック" w:hAnsi="ＭＳ ゴシック" w:cs="Times New Roman"/>
                <w:b/>
                <w:bCs/>
                <w:sz w:val="22"/>
                <w:szCs w:val="24"/>
              </w:rPr>
            </w:pPr>
          </w:p>
        </w:tc>
      </w:tr>
    </w:tbl>
    <w:p w:rsidR="00B052A7" w:rsidRPr="00B052A7" w:rsidRDefault="00B052A7" w:rsidP="00B052A7">
      <w:pPr>
        <w:spacing w:line="0" w:lineRule="atLeas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内服薬</w:t>
      </w:r>
    </w:p>
    <w:p w:rsidR="00B052A7" w:rsidRPr="00B052A7" w:rsidRDefault="00B052A7" w:rsidP="00B052A7">
      <w:pPr>
        <w:spacing w:line="0" w:lineRule="atLeas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【前日、day1、day2】</w:t>
      </w:r>
    </w:p>
    <w:p w:rsidR="00B052A7" w:rsidRPr="00B052A7" w:rsidRDefault="00B052A7" w:rsidP="00B052A7">
      <w:pPr>
        <w:numPr>
          <w:ilvl w:val="0"/>
          <w:numId w:val="3"/>
        </w:numPr>
        <w:rPr>
          <w:rFonts w:ascii="Times New Roman" w:eastAsia="ＭＳ 明朝" w:hAnsi="Times New Roman" w:cs="Times New Roman"/>
          <w:sz w:val="22"/>
          <w:szCs w:val="24"/>
        </w:rPr>
      </w:pPr>
      <w:r w:rsidRPr="00B052A7">
        <w:rPr>
          <w:rFonts w:ascii="ＭＳ 明朝" w:eastAsia="ＭＳ 明朝" w:hAnsi="ＭＳ 明朝" w:cs="Times New Roman" w:hint="eastAsia"/>
          <w:sz w:val="22"/>
          <w:szCs w:val="24"/>
        </w:rPr>
        <w:t>デカドロン錠4mg、 ．．1日2回、朝・夕 食後、１回１錠、3日間</w:t>
      </w:r>
    </w:p>
    <w:p w:rsidR="00B052A7" w:rsidRPr="00B052A7" w:rsidRDefault="00B052A7" w:rsidP="00B052A7">
      <w:pPr>
        <w:spacing w:line="0" w:lineRule="atLeast"/>
        <w:rPr>
          <w:rFonts w:ascii="Times New Roman" w:eastAsia="ＭＳ 明朝" w:hAnsi="Times New Roman" w:cs="Times New Roman"/>
          <w:sz w:val="22"/>
          <w:szCs w:val="24"/>
        </w:rPr>
      </w:pPr>
    </w:p>
    <w:p w:rsidR="00B052A7" w:rsidRPr="00B052A7" w:rsidRDefault="00B052A7" w:rsidP="00B052A7">
      <w:pPr>
        <w:spacing w:line="0" w:lineRule="atLeas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【day1】</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点滴静注、200mL/hr（30分）、生理食塩液100mL＋</w:t>
      </w:r>
      <w:r w:rsidR="009F3604">
        <w:rPr>
          <w:rFonts w:ascii="ＭＳ 明朝" w:eastAsia="ＭＳ 明朝" w:hAnsi="ＭＳ 明朝" w:cs="Times New Roman" w:hint="eastAsia"/>
          <w:sz w:val="22"/>
          <w:szCs w:val="24"/>
        </w:rPr>
        <w:t>オンダンセトロン</w:t>
      </w:r>
      <w:r w:rsidRPr="00B052A7">
        <w:rPr>
          <w:rFonts w:ascii="ＭＳ 明朝" w:eastAsia="ＭＳ 明朝" w:hAnsi="ＭＳ 明朝" w:cs="Times New Roman" w:hint="eastAsia"/>
          <w:sz w:val="22"/>
          <w:szCs w:val="24"/>
        </w:rPr>
        <w:t>注4mg：1管</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点滴静注、250mL/hr（2時間）、生理食塩液500mL＋</w:t>
      </w:r>
      <w:r w:rsidRPr="00B052A7">
        <w:rPr>
          <w:rFonts w:ascii="ＭＳ 明朝" w:eastAsia="ＭＳ 明朝" w:hAnsi="ＭＳ 明朝" w:cs="Times New Roman" w:hint="eastAsia"/>
          <w:sz w:val="22"/>
          <w:szCs w:val="24"/>
          <w:shd w:val="pct15" w:color="auto" w:fill="FFFFFF"/>
        </w:rPr>
        <w:t>ドセタキセル注：70mg／m2</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点滴静注、全開で　　　　　、生理食塩液50mL</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点滴静注、250mL/hr（1時間）、生理食塩液250mL＋</w:t>
      </w:r>
      <w:r w:rsidRPr="00B052A7">
        <w:rPr>
          <w:rFonts w:ascii="ＭＳ 明朝" w:eastAsia="ＭＳ 明朝" w:hAnsi="ＭＳ 明朝" w:cs="Times New Roman" w:hint="eastAsia"/>
          <w:sz w:val="22"/>
          <w:szCs w:val="24"/>
          <w:shd w:val="pct15" w:color="auto" w:fill="FFFFFF"/>
        </w:rPr>
        <w:t>カルボプラチン注：AUC=5</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点滴静注、全開で　　　　　、生理食塩液50mL</w:t>
      </w:r>
    </w:p>
    <w:p w:rsidR="00B052A7" w:rsidRPr="00B052A7" w:rsidRDefault="00B052A7" w:rsidP="00B052A7">
      <w:pPr>
        <w:numPr>
          <w:ilvl w:val="0"/>
          <w:numId w:val="1"/>
        </w:numPr>
        <w:spacing w:line="340" w:lineRule="exac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点滴静注、投与速度は初回</w:t>
      </w:r>
      <w:r w:rsidRPr="00B052A7">
        <w:rPr>
          <w:rFonts w:ascii="ＭＳ 明朝" w:eastAsia="ＭＳ 明朝" w:hAnsi="ＭＳ 明朝" w:cs="Times New Roman"/>
          <w:sz w:val="22"/>
          <w:szCs w:val="24"/>
        </w:rPr>
        <w:t>66mL/hr（90分）</w:t>
      </w:r>
    </w:p>
    <w:p w:rsidR="00B052A7" w:rsidRPr="00B052A7" w:rsidRDefault="00B052A7" w:rsidP="00B052A7">
      <w:pPr>
        <w:spacing w:line="340" w:lineRule="exact"/>
        <w:ind w:firstLineChars="1100" w:firstLine="2420"/>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２回目</w:t>
      </w:r>
      <w:r w:rsidRPr="00B052A7">
        <w:rPr>
          <w:rFonts w:ascii="ＭＳ 明朝" w:eastAsia="ＭＳ 明朝" w:hAnsi="ＭＳ 明朝" w:cs="Times New Roman"/>
          <w:sz w:val="22"/>
          <w:szCs w:val="24"/>
        </w:rPr>
        <w:t>100mL/hr（60分）</w:t>
      </w:r>
    </w:p>
    <w:p w:rsidR="00B052A7" w:rsidRPr="00B052A7" w:rsidRDefault="00B052A7" w:rsidP="00B052A7">
      <w:pPr>
        <w:spacing w:line="340" w:lineRule="exact"/>
        <w:ind w:firstLineChars="1100" w:firstLine="2420"/>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３回目</w:t>
      </w:r>
      <w:r w:rsidRPr="00B052A7">
        <w:rPr>
          <w:rFonts w:ascii="ＭＳ 明朝" w:eastAsia="ＭＳ 明朝" w:hAnsi="ＭＳ 明朝" w:cs="Times New Roman"/>
          <w:sz w:val="22"/>
          <w:szCs w:val="24"/>
        </w:rPr>
        <w:t>200mL/hr（30分）まで調節可</w:t>
      </w:r>
    </w:p>
    <w:p w:rsidR="00B052A7" w:rsidRPr="00B052A7" w:rsidRDefault="00B052A7" w:rsidP="00B052A7">
      <w:pPr>
        <w:ind w:firstLineChars="1100" w:firstLine="2420"/>
        <w:rPr>
          <w:rFonts w:ascii="ＭＳ 明朝" w:eastAsia="ＭＳ 明朝" w:hAnsi="ＭＳ 明朝" w:cs="Times New Roman"/>
          <w:sz w:val="22"/>
          <w:szCs w:val="24"/>
          <w:shd w:val="pct15" w:color="auto" w:fill="FFFFFF"/>
        </w:rPr>
      </w:pPr>
      <w:r w:rsidRPr="00B052A7">
        <w:rPr>
          <w:rFonts w:ascii="ＭＳ 明朝" w:eastAsia="ＭＳ 明朝" w:hAnsi="ＭＳ 明朝" w:cs="Times New Roman" w:hint="eastAsia"/>
          <w:sz w:val="22"/>
          <w:szCs w:val="24"/>
        </w:rPr>
        <w:t>生理食塩液60mL（100mLから40mL抜く）＋</w:t>
      </w:r>
      <w:r w:rsidRPr="00B052A7">
        <w:rPr>
          <w:rFonts w:ascii="ＭＳ 明朝" w:eastAsia="ＭＳ 明朝" w:hAnsi="ＭＳ 明朝" w:cs="Times New Roman" w:hint="eastAsia"/>
          <w:sz w:val="22"/>
          <w:szCs w:val="24"/>
          <w:shd w:val="pct15" w:color="auto" w:fill="FFFFFF"/>
        </w:rPr>
        <w:t>アバスチン注100・400mg：15mg/kg</w:t>
      </w:r>
    </w:p>
    <w:p w:rsidR="00B052A7" w:rsidRPr="00B052A7" w:rsidRDefault="00B052A7" w:rsidP="00B052A7">
      <w:pPr>
        <w:numPr>
          <w:ilvl w:val="0"/>
          <w:numId w:val="1"/>
        </w:numPr>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点滴静注、全開で　　　　　、生理食塩液50mL</w:t>
      </w:r>
    </w:p>
    <w:p w:rsidR="00B052A7" w:rsidRPr="00B052A7" w:rsidRDefault="00B052A7" w:rsidP="00B052A7">
      <w:pPr>
        <w:spacing w:line="0" w:lineRule="atLeast"/>
        <w:rPr>
          <w:rFonts w:ascii="Times New Roman" w:eastAsia="ＭＳ 明朝" w:hAnsi="Times New Roman" w:cs="Times New Roman"/>
          <w:sz w:val="22"/>
          <w:szCs w:val="24"/>
        </w:rPr>
      </w:pPr>
    </w:p>
    <w:p w:rsidR="00B052A7" w:rsidRPr="00B052A7" w:rsidRDefault="00B052A7" w:rsidP="00B052A7">
      <w:pPr>
        <w:spacing w:line="0" w:lineRule="atLeast"/>
        <w:rPr>
          <w:rFonts w:ascii="ＭＳ 明朝" w:eastAsia="ＭＳ 明朝" w:hAnsi="ＭＳ 明朝" w:cs="Times New Roman"/>
          <w:sz w:val="22"/>
          <w:szCs w:val="24"/>
          <w:u w:val="single"/>
        </w:rPr>
      </w:pPr>
      <w:r w:rsidRPr="00B052A7">
        <w:rPr>
          <w:rFonts w:ascii="ＭＳ 明朝" w:eastAsia="ＭＳ 明朝" w:hAnsi="ＭＳ 明朝" w:cs="Times New Roman" w:hint="eastAsia"/>
          <w:sz w:val="22"/>
          <w:szCs w:val="24"/>
        </w:rPr>
        <w:t>嘔気時　　　：Ⓐ 点滴静注、生理食塩液100mL＋</w:t>
      </w:r>
      <w:r w:rsidR="009F3604">
        <w:rPr>
          <w:rFonts w:ascii="ＭＳ 明朝" w:eastAsia="ＭＳ 明朝" w:hAnsi="ＭＳ 明朝" w:cs="Times New Roman" w:hint="eastAsia"/>
          <w:sz w:val="22"/>
          <w:szCs w:val="24"/>
        </w:rPr>
        <w:t>オンダンセトロン</w:t>
      </w:r>
      <w:r w:rsidRPr="00B052A7">
        <w:rPr>
          <w:rFonts w:ascii="ＭＳ 明朝" w:eastAsia="ＭＳ 明朝" w:hAnsi="ＭＳ 明朝" w:cs="Times New Roman" w:hint="eastAsia"/>
          <w:sz w:val="22"/>
          <w:szCs w:val="24"/>
        </w:rPr>
        <w:t>注4mg：1管（1回だけ追加）</w:t>
      </w:r>
    </w:p>
    <w:p w:rsidR="00B052A7" w:rsidRPr="00B052A7" w:rsidRDefault="00B052A7" w:rsidP="00B052A7">
      <w:pPr>
        <w:spacing w:line="0" w:lineRule="atLeas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無効時　　　：Ⓑ 点滴静注、生理食塩液100ml＋プリンペラン注10mg：1管</w:t>
      </w:r>
    </w:p>
    <w:p w:rsidR="00B052A7" w:rsidRPr="00B052A7" w:rsidRDefault="00B052A7" w:rsidP="00B052A7">
      <w:pPr>
        <w:spacing w:line="0" w:lineRule="atLeast"/>
        <w:rPr>
          <w:rFonts w:ascii="ＭＳ 明朝" w:eastAsia="ＭＳ 明朝" w:hAnsi="ＭＳ 明朝" w:cs="Times New Roman"/>
          <w:sz w:val="22"/>
          <w:szCs w:val="24"/>
        </w:rPr>
      </w:pPr>
      <w:r w:rsidRPr="00B052A7">
        <w:rPr>
          <w:rFonts w:ascii="ＭＳ 明朝" w:eastAsia="ＭＳ 明朝" w:hAnsi="ＭＳ 明朝" w:cs="Times New Roman" w:hint="eastAsia"/>
          <w:sz w:val="22"/>
          <w:szCs w:val="24"/>
        </w:rPr>
        <w:t>さらに無効時：Ⓒ 筋肉注射、ドロレプタン注1mL</w:t>
      </w:r>
    </w:p>
    <w:p w:rsidR="00B052A7" w:rsidRPr="00B052A7" w:rsidRDefault="00B052A7" w:rsidP="00B052A7">
      <w:pPr>
        <w:spacing w:line="0" w:lineRule="atLeast"/>
        <w:rPr>
          <w:rFonts w:ascii="Times New Roman" w:eastAsia="ＭＳ 明朝" w:hAnsi="Times New Roman" w:cs="Times New Roman"/>
          <w:sz w:val="22"/>
          <w:szCs w:val="24"/>
        </w:rPr>
      </w:pPr>
    </w:p>
    <w:p w:rsidR="00B052A7" w:rsidRPr="00B052A7" w:rsidRDefault="00B052A7" w:rsidP="00B052A7">
      <w:pPr>
        <w:rPr>
          <w:rFonts w:ascii="Times New Roman" w:eastAsia="ＭＳ 明朝" w:hAnsi="Times New Roman" w:cs="Times New Roman"/>
          <w:sz w:val="22"/>
          <w:szCs w:val="24"/>
        </w:rPr>
      </w:pPr>
      <w:r w:rsidRPr="00B052A7">
        <w:rPr>
          <w:rFonts w:ascii="Times New Roman" w:eastAsia="ＭＳ 明朝" w:hAnsi="Times New Roman" w:cs="Times New Roman" w:hint="eastAsia"/>
          <w:sz w:val="22"/>
          <w:szCs w:val="24"/>
        </w:rPr>
        <w:t>注意事項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B052A7" w:rsidRPr="00B052A7" w:rsidTr="009064F3">
        <w:trPr>
          <w:trHeight w:val="335"/>
        </w:trPr>
        <w:tc>
          <w:tcPr>
            <w:tcW w:w="10303" w:type="dxa"/>
          </w:tcPr>
          <w:p w:rsidR="00B052A7" w:rsidRPr="00B052A7" w:rsidRDefault="00B052A7" w:rsidP="00B052A7">
            <w:pPr>
              <w:spacing w:line="0" w:lineRule="atLeast"/>
              <w:rPr>
                <w:rFonts w:ascii="Times New Roman" w:eastAsia="ＭＳ 明朝" w:hAnsi="Times New Roman" w:cs="Times New Roman"/>
                <w:sz w:val="22"/>
                <w:szCs w:val="24"/>
              </w:rPr>
            </w:pPr>
            <w:r w:rsidRPr="00B052A7">
              <w:rPr>
                <w:rFonts w:ascii="Times New Roman" w:eastAsia="ＭＳ 明朝" w:hAnsi="Times New Roman" w:cs="Times New Roman" w:hint="eastAsia"/>
                <w:sz w:val="22"/>
                <w:szCs w:val="24"/>
              </w:rPr>
              <w:t>ＥＫＧモニター、自動血圧計装置はドセタキセル投与終了までチェックする。</w:t>
            </w:r>
          </w:p>
        </w:tc>
      </w:tr>
    </w:tbl>
    <w:p w:rsidR="00B052A7" w:rsidRPr="00B052A7" w:rsidRDefault="00B052A7" w:rsidP="00B052A7">
      <w:pPr>
        <w:spacing w:line="0" w:lineRule="atLeast"/>
        <w:rPr>
          <w:rFonts w:ascii="Century" w:eastAsia="ＭＳ 明朝" w:hAnsi="Century" w:cs="Times New Roman"/>
          <w:sz w:val="24"/>
          <w:szCs w:val="24"/>
        </w:rPr>
      </w:pPr>
    </w:p>
    <w:p w:rsidR="00B052A7" w:rsidRPr="00B052A7" w:rsidRDefault="00B052A7" w:rsidP="00B052A7">
      <w:pPr>
        <w:spacing w:line="0" w:lineRule="atLeast"/>
        <w:rPr>
          <w:rFonts w:ascii="Century" w:eastAsia="ＭＳ 明朝" w:hAnsi="Century" w:cs="Times New Roman"/>
          <w:sz w:val="24"/>
          <w:szCs w:val="24"/>
        </w:rPr>
      </w:pPr>
      <w:r w:rsidRPr="00B052A7">
        <w:rPr>
          <w:rFonts w:ascii="Century" w:eastAsia="ＭＳ 明朝" w:hAnsi="Century" w:cs="Times New Roman" w:hint="eastAsia"/>
          <w:sz w:val="24"/>
          <w:szCs w:val="24"/>
        </w:rPr>
        <w:t>起こる可能性のある副作用（気になる症状がでましたら知らせてください）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B052A7" w:rsidRPr="00B052A7" w:rsidTr="009064F3">
        <w:tc>
          <w:tcPr>
            <w:tcW w:w="10260" w:type="dxa"/>
          </w:tcPr>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白血球の減少や肝機能障害がおこることがあります。定期的に検査していますが、急な発熱や口内炎、咽頭痛がでましたら主治医にご相談ください。（</w:t>
            </w:r>
            <w:r w:rsidRPr="00B052A7">
              <w:rPr>
                <w:rFonts w:ascii="Century" w:eastAsia="ＭＳ 明朝" w:hAnsi="Century" w:cs="Times New Roman" w:hint="eastAsia"/>
                <w:sz w:val="22"/>
                <w:u w:val="single"/>
              </w:rPr>
              <w:t>手洗い・うがいを心がけてください</w:t>
            </w:r>
            <w:r w:rsidRPr="00B052A7">
              <w:rPr>
                <w:rFonts w:ascii="Century" w:eastAsia="ＭＳ 明朝" w:hAnsi="Century" w:cs="Times New Roman" w:hint="eastAsia"/>
                <w:sz w:val="22"/>
              </w:rPr>
              <w:t>）</w:t>
            </w:r>
          </w:p>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食欲不振、吐き気、下痢、倦怠感：</w:t>
            </w:r>
            <w:r w:rsidRPr="00B052A7">
              <w:rPr>
                <w:rFonts w:ascii="Century" w:eastAsia="ＭＳ 明朝" w:hAnsi="Century" w:cs="Times New Roman" w:hint="eastAsia"/>
                <w:sz w:val="22"/>
                <w:u w:val="single"/>
              </w:rPr>
              <w:t>点滴の中に予め吐き気止めの薬が入っています。</w:t>
            </w:r>
          </w:p>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脱毛（治療終了後、数ヵ月～半年で回復します）。</w:t>
            </w:r>
          </w:p>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肺障害（間質性肺炎など）がおこることがあります。呼吸困難感、咳などを伴う疲労感が出現したら、主治医にご相談ください。</w:t>
            </w:r>
          </w:p>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点滴をしている最中につぎのようなアレルギー症状がおこることがありますので、症状が出たらすぐに医師・看護師に知らせてください。</w:t>
            </w:r>
          </w:p>
          <w:p w:rsidR="00B052A7" w:rsidRPr="00B052A7" w:rsidRDefault="00B052A7" w:rsidP="00B052A7">
            <w:pPr>
              <w:spacing w:line="0" w:lineRule="atLeast"/>
              <w:ind w:leftChars="400" w:left="840"/>
              <w:rPr>
                <w:rFonts w:ascii="Century" w:eastAsia="ＭＳ 明朝" w:hAnsi="Century" w:cs="Times New Roman"/>
                <w:sz w:val="22"/>
              </w:rPr>
            </w:pPr>
            <w:r w:rsidRPr="00B052A7">
              <w:rPr>
                <w:rFonts w:ascii="Century" w:eastAsia="ＭＳ 明朝" w:hAnsi="Century" w:cs="Times New Roman" w:hint="eastAsia"/>
                <w:sz w:val="22"/>
              </w:rPr>
              <w:t>＊息苦しい、体がかゆい、胸が苦しい、顔がほてる、発疹（赤いぶつぶつ）がでる</w:t>
            </w:r>
          </w:p>
          <w:p w:rsidR="00B052A7" w:rsidRPr="00B052A7" w:rsidRDefault="00B052A7" w:rsidP="00B052A7">
            <w:pPr>
              <w:numPr>
                <w:ilvl w:val="0"/>
                <w:numId w:val="2"/>
              </w:numPr>
              <w:spacing w:line="0" w:lineRule="atLeast"/>
              <w:rPr>
                <w:rFonts w:ascii="Century" w:eastAsia="ＭＳ 明朝" w:hAnsi="Century" w:cs="Times New Roman"/>
                <w:sz w:val="22"/>
              </w:rPr>
            </w:pPr>
            <w:r w:rsidRPr="00B052A7">
              <w:rPr>
                <w:rFonts w:ascii="Century" w:eastAsia="ＭＳ 明朝" w:hAnsi="Century" w:cs="Times New Roman" w:hint="eastAsia"/>
                <w:sz w:val="22"/>
              </w:rPr>
              <w:t>手足のしびれ、感覚が鈍くなったりすることがあります。</w:t>
            </w:r>
          </w:p>
        </w:tc>
      </w:tr>
    </w:tbl>
    <w:p w:rsidR="00B052A7" w:rsidRPr="00B052A7" w:rsidRDefault="00B052A7" w:rsidP="00B052A7">
      <w:pPr>
        <w:tabs>
          <w:tab w:val="left" w:pos="1680"/>
        </w:tabs>
        <w:spacing w:line="0" w:lineRule="atLeast"/>
        <w:rPr>
          <w:rFonts w:ascii="Century" w:eastAsia="ＭＳ 明朝" w:hAnsi="Century" w:cs="Times New Roman"/>
          <w:sz w:val="22"/>
        </w:rPr>
      </w:pPr>
      <w:r w:rsidRPr="00B052A7">
        <w:rPr>
          <w:rFonts w:ascii="Century" w:eastAsia="ＭＳ 明朝" w:hAnsi="Century" w:cs="Times New Roman" w:hint="eastAsia"/>
          <w:sz w:val="22"/>
        </w:rPr>
        <w:t>副作用は、注射をした日だけでなく、休薬中にも起こる可能性があります。</w:t>
      </w:r>
    </w:p>
    <w:p w:rsidR="00B052A7" w:rsidRPr="00B052A7" w:rsidRDefault="00B052A7" w:rsidP="00B052A7">
      <w:pPr>
        <w:tabs>
          <w:tab w:val="left" w:pos="1680"/>
        </w:tabs>
        <w:spacing w:line="0" w:lineRule="atLeast"/>
        <w:rPr>
          <w:rFonts w:ascii="Century" w:eastAsia="ＭＳ 明朝" w:hAnsi="Century" w:cs="Times New Roman"/>
          <w:sz w:val="22"/>
        </w:rPr>
      </w:pPr>
      <w:r w:rsidRPr="00B052A7">
        <w:rPr>
          <w:rFonts w:ascii="Century" w:eastAsia="ＭＳ 明朝" w:hAnsi="Century" w:cs="Times New Roman" w:hint="eastAsia"/>
          <w:sz w:val="22"/>
        </w:rPr>
        <w:t>通常、副作用の多くは、時間の経過とともに徐々に回復していきます。</w:t>
      </w:r>
    </w:p>
    <w:p w:rsidR="00B052A7" w:rsidRPr="00B052A7" w:rsidRDefault="00B052A7" w:rsidP="00B052A7">
      <w:pPr>
        <w:spacing w:line="0" w:lineRule="atLeast"/>
        <w:rPr>
          <w:rFonts w:ascii="Century" w:eastAsia="ＭＳ 明朝" w:hAnsi="Century" w:cs="Times New Roman"/>
          <w:sz w:val="22"/>
        </w:rPr>
      </w:pPr>
      <w:r w:rsidRPr="00B052A7">
        <w:rPr>
          <w:rFonts w:ascii="Century" w:eastAsia="ＭＳ 明朝" w:hAnsi="Century" w:cs="Times New Roman" w:hint="eastAsia"/>
          <w:sz w:val="22"/>
        </w:rPr>
        <w:t>ここにあげた副作用がすべての人に必ず起こるというわけではありません。</w:t>
      </w:r>
    </w:p>
    <w:p w:rsidR="00B052A7" w:rsidRPr="00B052A7" w:rsidRDefault="00B052A7" w:rsidP="00B052A7">
      <w:pPr>
        <w:spacing w:line="0" w:lineRule="atLeast"/>
        <w:rPr>
          <w:rFonts w:ascii="Times New Roman" w:eastAsia="ＭＳ 明朝" w:hAnsi="Times New Roman" w:cs="Times New Roman"/>
          <w:sz w:val="22"/>
        </w:rPr>
      </w:pPr>
      <w:r w:rsidRPr="00B052A7">
        <w:rPr>
          <w:rFonts w:ascii="Century" w:eastAsia="ＭＳ 明朝" w:hAnsi="Century" w:cs="Times New Roman" w:hint="eastAsia"/>
          <w:sz w:val="22"/>
        </w:rPr>
        <w:t>また、これら以外の副作用があらわれる場合もありますので、気になる症状があらわれた際には、必ず、医師、看護師または薬剤師に相談してください。</w:t>
      </w:r>
    </w:p>
    <w:sectPr w:rsidR="00B052A7" w:rsidRPr="00B052A7">
      <w:headerReference w:type="even" r:id="rId10"/>
      <w:headerReference w:type="default" r:id="rId11"/>
      <w:pgSz w:w="11906" w:h="16838" w:code="9"/>
      <w:pgMar w:top="851" w:right="851" w:bottom="567" w:left="851" w:header="454" w:footer="992" w:gutter="0"/>
      <w:cols w:space="425"/>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D7" w:rsidRDefault="00B04631">
      <w:r>
        <w:separator/>
      </w:r>
    </w:p>
  </w:endnote>
  <w:endnote w:type="continuationSeparator" w:id="0">
    <w:p w:rsidR="009942D7" w:rsidRDefault="00B0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D7" w:rsidRDefault="00B04631">
      <w:r>
        <w:separator/>
      </w:r>
    </w:p>
  </w:footnote>
  <w:footnote w:type="continuationSeparator" w:id="0">
    <w:p w:rsidR="009942D7" w:rsidRDefault="00B0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83" w:rsidRDefault="00B052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0083" w:rsidRDefault="00504C0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83" w:rsidRDefault="00504C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9DA"/>
    <w:multiLevelType w:val="hybridMultilevel"/>
    <w:tmpl w:val="01DCC0E6"/>
    <w:lvl w:ilvl="0" w:tplc="B7A488C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A13B63"/>
    <w:multiLevelType w:val="hybridMultilevel"/>
    <w:tmpl w:val="80B4FCFA"/>
    <w:lvl w:ilvl="0" w:tplc="712AE466">
      <w:start w:val="1"/>
      <w:numFmt w:val="bullet"/>
      <w:lvlText w:val=""/>
      <w:lvlJc w:val="left"/>
      <w:pPr>
        <w:tabs>
          <w:tab w:val="num" w:pos="396"/>
        </w:tabs>
        <w:ind w:left="396" w:hanging="396"/>
      </w:pPr>
      <w:rPr>
        <w:rFonts w:ascii="Wingdings" w:hAnsi="Wingdings" w:hint="default"/>
      </w:rPr>
    </w:lvl>
    <w:lvl w:ilvl="1" w:tplc="C018CA50">
      <w:numFmt w:val="bullet"/>
      <w:lvlText w:val="＊"/>
      <w:lvlJc w:val="left"/>
      <w:pPr>
        <w:tabs>
          <w:tab w:val="num" w:pos="496"/>
        </w:tabs>
        <w:ind w:left="496" w:hanging="360"/>
      </w:pPr>
      <w:rPr>
        <w:rFonts w:ascii="ＭＳ 明朝" w:eastAsia="ＭＳ 明朝" w:hAnsi="ＭＳ 明朝" w:cs="Times New Roman" w:hint="eastAsia"/>
      </w:rPr>
    </w:lvl>
    <w:lvl w:ilvl="2" w:tplc="0409000D">
      <w:start w:val="1"/>
      <w:numFmt w:val="bullet"/>
      <w:lvlText w:val=""/>
      <w:lvlJc w:val="left"/>
      <w:pPr>
        <w:tabs>
          <w:tab w:val="num" w:pos="976"/>
        </w:tabs>
        <w:ind w:left="976" w:hanging="420"/>
      </w:pPr>
      <w:rPr>
        <w:rFonts w:ascii="Wingdings" w:hAnsi="Wingdings" w:hint="default"/>
      </w:rPr>
    </w:lvl>
    <w:lvl w:ilvl="3" w:tplc="04090001">
      <w:start w:val="1"/>
      <w:numFmt w:val="bullet"/>
      <w:lvlText w:val=""/>
      <w:lvlJc w:val="left"/>
      <w:pPr>
        <w:tabs>
          <w:tab w:val="num" w:pos="1396"/>
        </w:tabs>
        <w:ind w:left="1396" w:hanging="420"/>
      </w:pPr>
      <w:rPr>
        <w:rFonts w:ascii="Wingdings" w:hAnsi="Wingdings" w:hint="default"/>
      </w:rPr>
    </w:lvl>
    <w:lvl w:ilvl="4" w:tplc="0409000B" w:tentative="1">
      <w:start w:val="1"/>
      <w:numFmt w:val="bullet"/>
      <w:lvlText w:val=""/>
      <w:lvlJc w:val="left"/>
      <w:pPr>
        <w:tabs>
          <w:tab w:val="num" w:pos="1816"/>
        </w:tabs>
        <w:ind w:left="1816" w:hanging="420"/>
      </w:pPr>
      <w:rPr>
        <w:rFonts w:ascii="Wingdings" w:hAnsi="Wingdings" w:hint="default"/>
      </w:rPr>
    </w:lvl>
    <w:lvl w:ilvl="5" w:tplc="0409000D" w:tentative="1">
      <w:start w:val="1"/>
      <w:numFmt w:val="bullet"/>
      <w:lvlText w:val=""/>
      <w:lvlJc w:val="left"/>
      <w:pPr>
        <w:tabs>
          <w:tab w:val="num" w:pos="2236"/>
        </w:tabs>
        <w:ind w:left="2236" w:hanging="420"/>
      </w:pPr>
      <w:rPr>
        <w:rFonts w:ascii="Wingdings" w:hAnsi="Wingdings" w:hint="default"/>
      </w:rPr>
    </w:lvl>
    <w:lvl w:ilvl="6" w:tplc="04090001" w:tentative="1">
      <w:start w:val="1"/>
      <w:numFmt w:val="bullet"/>
      <w:lvlText w:val=""/>
      <w:lvlJc w:val="left"/>
      <w:pPr>
        <w:tabs>
          <w:tab w:val="num" w:pos="2656"/>
        </w:tabs>
        <w:ind w:left="2656" w:hanging="420"/>
      </w:pPr>
      <w:rPr>
        <w:rFonts w:ascii="Wingdings" w:hAnsi="Wingdings" w:hint="default"/>
      </w:rPr>
    </w:lvl>
    <w:lvl w:ilvl="7" w:tplc="0409000B" w:tentative="1">
      <w:start w:val="1"/>
      <w:numFmt w:val="bullet"/>
      <w:lvlText w:val=""/>
      <w:lvlJc w:val="left"/>
      <w:pPr>
        <w:tabs>
          <w:tab w:val="num" w:pos="3076"/>
        </w:tabs>
        <w:ind w:left="3076" w:hanging="420"/>
      </w:pPr>
      <w:rPr>
        <w:rFonts w:ascii="Wingdings" w:hAnsi="Wingdings" w:hint="default"/>
      </w:rPr>
    </w:lvl>
    <w:lvl w:ilvl="8" w:tplc="0409000D" w:tentative="1">
      <w:start w:val="1"/>
      <w:numFmt w:val="bullet"/>
      <w:lvlText w:val=""/>
      <w:lvlJc w:val="left"/>
      <w:pPr>
        <w:tabs>
          <w:tab w:val="num" w:pos="3496"/>
        </w:tabs>
        <w:ind w:left="3496" w:hanging="420"/>
      </w:pPr>
      <w:rPr>
        <w:rFonts w:ascii="Wingdings" w:hAnsi="Wingdings" w:hint="default"/>
      </w:rPr>
    </w:lvl>
  </w:abstractNum>
  <w:abstractNum w:abstractNumId="2">
    <w:nsid w:val="2BF8037D"/>
    <w:multiLevelType w:val="hybridMultilevel"/>
    <w:tmpl w:val="30904B7C"/>
    <w:lvl w:ilvl="0" w:tplc="7E003B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A7"/>
    <w:rsid w:val="00504C00"/>
    <w:rsid w:val="00862CA7"/>
    <w:rsid w:val="009942D7"/>
    <w:rsid w:val="009F3604"/>
    <w:rsid w:val="00B04631"/>
    <w:rsid w:val="00B052A7"/>
    <w:rsid w:val="00B7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2A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052A7"/>
    <w:rPr>
      <w:rFonts w:ascii="Century" w:eastAsia="ＭＳ 明朝" w:hAnsi="Century" w:cs="Times New Roman"/>
      <w:szCs w:val="24"/>
    </w:rPr>
  </w:style>
  <w:style w:type="character" w:styleId="a5">
    <w:name w:val="page number"/>
    <w:basedOn w:val="a0"/>
    <w:rsid w:val="00B05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2A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052A7"/>
    <w:rPr>
      <w:rFonts w:ascii="Century" w:eastAsia="ＭＳ 明朝" w:hAnsi="Century" w:cs="Times New Roman"/>
      <w:szCs w:val="24"/>
    </w:rPr>
  </w:style>
  <w:style w:type="character" w:styleId="a5">
    <w:name w:val="page number"/>
    <w:basedOn w:val="a0"/>
    <w:rsid w:val="00B0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公立富岡総合病院</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公立富岡総合病院</dc:creator>
  <cp:lastModifiedBy>公立富岡総合病院</cp:lastModifiedBy>
  <cp:revision>2</cp:revision>
  <dcterms:created xsi:type="dcterms:W3CDTF">2020-09-08T02:32:00Z</dcterms:created>
  <dcterms:modified xsi:type="dcterms:W3CDTF">2020-09-08T02:32:00Z</dcterms:modified>
</cp:coreProperties>
</file>